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ОКПД 2:</w:t>
      </w:r>
      <w:r>
        <w:rPr>
          <w:sz w:val="24"/>
          <w:szCs w:val="24"/>
          <w:shd w:fill="auto" w:val="clear"/>
        </w:rPr>
        <w:t xml:space="preserve"> 33.20.42.000 Вып</w:t>
      </w:r>
      <w:r>
        <w:rPr>
          <w:sz w:val="24"/>
          <w:szCs w:val="24"/>
        </w:rPr>
        <w:t>олнение работ по монтажу системы контроля и управления доступом на объектах филиала ПАО «РусГидро» - «Каскад Кубанских ГЭС» для нужд Кубанского филиала АО «Гидроремонт-ВКК»</w:t>
      </w:r>
    </w:p>
    <w:p>
      <w:pPr>
        <w:pStyle w:val="Normal"/>
        <w:jc w:val="center"/>
        <w:rPr>
          <w:sz w:val="24"/>
          <w:szCs w:val="24"/>
        </w:rPr>
      </w:pPr>
      <w:r>
        <w:rPr/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Лот № 1017-ТПиР БЕЗОП ДОХ-2026-ГРВКК-КубФ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ind w:right="-57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0" w:name="_Toc51339692_Копия_1"/>
      <w:bookmarkStart w:id="1" w:name="_Toc124516412_Копия_1"/>
      <w:r>
        <w:rPr>
          <w:b/>
          <w:sz w:val="24"/>
          <w:szCs w:val="24"/>
        </w:rPr>
        <w:t>Общие сведения ………………………………………………………………………………</w:t>
      </w:r>
      <w:bookmarkEnd w:id="0"/>
      <w:bookmarkEnd w:id="1"/>
      <w:r>
        <w:rPr>
          <w:b/>
          <w:sz w:val="24"/>
          <w:szCs w:val="24"/>
        </w:rPr>
        <w:t>....3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r>
            <w:fldChar w:fldCharType="begin"/>
          </w:r>
          <w:r>
            <w:rPr>
              <w:rStyle w:val="Style15"/>
              <w:sz w:val="24"/>
              <w:szCs w:val="24"/>
            </w:rPr>
            <w:instrText xml:space="preserve"> TOC \o "1-4" \h</w:instrText>
          </w:r>
          <w:r>
            <w:rPr>
              <w:rStyle w:val="Style15"/>
              <w:sz w:val="24"/>
              <w:szCs w:val="24"/>
            </w:rPr>
            <w:fldChar w:fldCharType="separate"/>
          </w:r>
          <w:hyperlink w:anchor="__RefHeading___Toc2067_1456059687">
            <w:r>
              <w:rPr>
                <w:rStyle w:val="Style15"/>
                <w:sz w:val="24"/>
                <w:szCs w:val="24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69_1456059687">
            <w:r>
              <w:rPr>
                <w:rStyle w:val="Style15"/>
                <w:sz w:val="24"/>
                <w:szCs w:val="24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1_1456059687">
            <w:r>
              <w:rPr>
                <w:rStyle w:val="Style15"/>
                <w:sz w:val="24"/>
                <w:szCs w:val="24"/>
              </w:rPr>
              <w:t>1.3. Цель выполнение работ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3_1456059687">
            <w:r>
              <w:rPr>
                <w:rStyle w:val="Style15"/>
                <w:sz w:val="24"/>
                <w:szCs w:val="24"/>
              </w:rPr>
              <w:t>1.4. Существующее положение</w:t>
              <w:tab/>
              <w:t>3</w:t>
            </w:r>
          </w:hyperlink>
        </w:p>
        <w:p>
          <w:pPr>
            <w:pStyle w:val="Normal"/>
            <w:tabs>
              <w:tab w:val="clear" w:pos="708"/>
              <w:tab w:val="right" w:pos="9825" w:leader="dot"/>
            </w:tabs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>
              <w:sz w:val="24"/>
              <w:szCs w:val="24"/>
            </w:rPr>
            <w:tab/>
            <w:t>3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5_1456059687">
            <w:r>
              <w:rPr>
                <w:rStyle w:val="Style15"/>
                <w:sz w:val="24"/>
                <w:szCs w:val="2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77_1456059687">
            <w:r>
              <w:rPr>
                <w:rStyle w:val="Style15"/>
              </w:rPr>
              <w:t>2. Требования к продукции</w:t>
              <w:tab/>
            </w:r>
          </w:hyperlink>
          <w:r>
            <w:rPr/>
            <w:t>4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1_1456059687">
            <w:r>
              <w:rPr>
                <w:rStyle w:val="Style15"/>
                <w:sz w:val="24"/>
                <w:szCs w:val="24"/>
              </w:rPr>
              <w:t>2.1. Требования к объемам и срокам выполнения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3_1456059687">
            <w:r>
              <w:rPr>
                <w:rStyle w:val="Style15"/>
                <w:sz w:val="24"/>
                <w:szCs w:val="24"/>
              </w:rPr>
              <w:t>2.1.1. Требования к видам и объемам работ</w:t>
              <w:tab/>
            </w:r>
          </w:hyperlink>
          <w:r>
            <w:rPr>
              <w:sz w:val="24"/>
              <w:szCs w:val="24"/>
            </w:rPr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5_1456059687">
            <w:r>
              <w:rPr>
                <w:rStyle w:val="Style15"/>
              </w:rPr>
              <w:t>Таблица 2. Перечень и объем выполняемых работ</w:t>
              <w:tab/>
            </w:r>
          </w:hyperlink>
          <w:r>
            <w:rPr/>
            <w:t>4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7_1456059687">
            <w:r>
              <w:rPr>
                <w:rStyle w:val="Style15"/>
                <w:sz w:val="24"/>
                <w:szCs w:val="24"/>
              </w:rPr>
              <w:t>2.1.2. Требования к срокам выполнения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9_1456059687">
            <w:r>
              <w:rPr>
                <w:rStyle w:val="Style15"/>
              </w:rPr>
              <w:t>Таблица 3. Требования по срокам выполнения работ</w:t>
              <w:tab/>
            </w:r>
          </w:hyperlink>
          <w:r>
            <w:rPr/>
            <w:t>5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91_1456059687">
            <w:r>
              <w:rPr>
                <w:rStyle w:val="Style15"/>
                <w:sz w:val="24"/>
                <w:szCs w:val="24"/>
              </w:rPr>
              <w:t>2.2. Требования к качеству работ</w:t>
              <w:tab/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3_1456059687">
            <w:r>
              <w:rPr>
                <w:rStyle w:val="Style15"/>
              </w:rPr>
              <w:t>Таблица 4. Требования к качеству работ</w:t>
              <w:tab/>
            </w:r>
          </w:hyperlink>
          <w:r>
            <w:rPr/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5_1456059687">
            <w:r>
              <w:rPr>
                <w:rStyle w:val="Style15"/>
              </w:rPr>
              <w:t>3. Требования к документации по ценообразованию на этапе закупки</w:t>
              <w:tab/>
              <w:t>1</w:t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7_1456059687">
            <w:r>
              <w:rPr>
                <w:rStyle w:val="Style15"/>
              </w:rPr>
              <w:t>4. Требования к документации по ценообразованию на этапе заключения (исполнения) договора</w:t>
              <w:tab/>
              <w:t>1</w:t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9_1456059687">
            <w:r>
              <w:rPr>
                <w:rStyle w:val="Style15"/>
              </w:rPr>
              <w:t>5. Приложения</w:t>
              <w:tab/>
              <w:t>1</w:t>
            </w:r>
          </w:hyperlink>
          <w:r>
            <w:rPr/>
            <w:t>4</w:t>
          </w:r>
          <w:r>
            <w:rPr/>
            <w:fldChar w:fldCharType="end"/>
          </w:r>
        </w:p>
      </w:sdtContent>
    </w:sdt>
    <w:p>
      <w:pPr>
        <w:pStyle w:val="BodyText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51339692"/>
      <w:bookmarkStart w:id="3" w:name="_Toc124516412"/>
      <w:r>
        <w:rPr>
          <w:b/>
          <w:sz w:val="24"/>
          <w:szCs w:val="24"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left="567" w:hanging="567"/>
        <w:rPr/>
      </w:pPr>
      <w:bookmarkStart w:id="4" w:name="__RefHeading___Toc2067_1456059687"/>
      <w:bookmarkStart w:id="5" w:name="_Toc124516413"/>
      <w:bookmarkStart w:id="6" w:name="_Toc46743505"/>
      <w:bookmarkEnd w:id="4"/>
      <w:r>
        <w:rPr/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952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385"/>
        <w:gridCol w:w="7135"/>
      </w:tblGrid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ККГЭС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Филиала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КСБ</w:t>
            </w:r>
          </w:p>
        </w:tc>
        <w:tc>
          <w:tcPr>
            <w:tcW w:w="7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Комплексная система безопасности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ИТСЗ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Инженерно-технические средства физической защиты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оповещения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охранного освещения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охранной сигнализации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СКУД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контроля управления доступом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охранного телевидения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СЭ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электропитания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 пропускной пункт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Подъемные сооружения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2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ГТС</w:t>
            </w:r>
          </w:p>
        </w:tc>
        <w:tc>
          <w:tcPr>
            <w:tcW w:w="7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Гидротехнические сооружения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567" w:hanging="567"/>
        <w:rPr/>
      </w:pPr>
      <w:bookmarkStart w:id="7" w:name="__RefHeading___Toc2069_1456059687"/>
      <w:bookmarkStart w:id="8" w:name="_Toc124516414"/>
      <w:bookmarkEnd w:id="7"/>
      <w:r>
        <w:rPr/>
        <w:t>Наименование закупаемой продукции</w:t>
      </w:r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rPr/>
      </w:pPr>
      <w:r>
        <w:rPr>
          <w:sz w:val="24"/>
          <w:szCs w:val="24"/>
        </w:rPr>
        <w:t>ОКПД 2: 33.20.42.000 Выполнение работ по монтажу системы контроля и управления доступом на объектах филиала ПАО «РусГидро» - «Каскад Кубанских ГЭС» для нужд Кубанского филиала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9" w:name="__RefHeading___Toc2071_1456059687"/>
      <w:bookmarkEnd w:id="9"/>
      <w:r>
        <w:rPr>
          <w:lang w:val="ru-RU"/>
        </w:rPr>
        <w:t>Цель выполнение работ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</w:rPr>
      </w:pPr>
      <w:r>
        <w:rPr>
          <w:bCs/>
          <w:color w:val="000000"/>
          <w:sz w:val="24"/>
          <w:szCs w:val="24"/>
        </w:rPr>
        <w:t>Исполнение обязательств по договору подряда № 1210-153-2024/3-ТпиР-БЕЗ-2024-ККГЭС от 07.06.2024г. «ОКПД2 26.30.50 Монтаж и наладка оборудования систем оперативной радиосвязи, оповещения, охранного телевидения, охранно-тревожной сигнализации, контроля и управления доступом, сбора и обработки информации объектов  в административном здании в г. Невинномысск, ГЭС-1, ГЭС-2, ГЭС-3, ГЭС-4,  Егорлыкской ГЭС, Егорлыкской ГЭС-2, Свистухинской ГЭС, монтаж ограждений площадки ОРУ-330  кВ и плотины выравнивающего водохранилища ГЭС-2,  плотины выравнивающего водохранилища ГЭС-3, плотины  Егорлыкского водохранилища»,  заключенного между ПАО «РусГидро» - «Каскад Кубанских ГЭС» и Кубанским филиалом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Heading4"/>
        <w:numPr>
          <w:ilvl w:val="1"/>
          <w:numId w:val="3"/>
        </w:numPr>
        <w:rPr/>
      </w:pPr>
      <w:bookmarkStart w:id="10" w:name="__RefHeading___Toc2073_1456059687"/>
      <w:bookmarkEnd w:id="10"/>
      <w:r>
        <w:rPr/>
        <w:t>Существу</w:t>
      </w:r>
      <w:r>
        <w:rPr>
          <w:lang w:val="ru-RU"/>
        </w:rPr>
        <w:t>ющее положение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/>
      </w:pPr>
      <w:r>
        <w:rPr>
          <w:bCs/>
          <w:color w:val="000000"/>
          <w:sz w:val="24"/>
          <w:szCs w:val="24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000000"/>
          <w:sz w:val="24"/>
          <w:szCs w:val="24"/>
          <w:lang w:eastAsia="x-none"/>
        </w:rPr>
      </w:pPr>
      <w:r>
        <w:rPr>
          <w:bCs/>
          <w:color w:val="000000"/>
          <w:sz w:val="24"/>
          <w:szCs w:val="24"/>
          <w:lang w:eastAsia="x-none"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0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69"/>
        <w:gridCol w:w="2388"/>
        <w:gridCol w:w="2785"/>
        <w:gridCol w:w="2536"/>
        <w:gridCol w:w="1648"/>
      </w:tblGrid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 (место производства работ)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Карачаево-Черкесская Республика, Прикубанский район, 61 км Большого Ставропольского канала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ГЭС-2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Карачаево-Черкесская Республика, Прикубанский район, пос. Ударный;</w:t>
            </w:r>
            <w:bookmarkStart w:id="11" w:name="_GoBack_Копия_2_Копия_1"/>
            <w:bookmarkEnd w:id="11"/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ГЭС-2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ГЭС-3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Ставропольский край, Андроповский район, поселок Каскадный;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ГЭС-3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ГЭС-4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Ставропольский край, Кочубеевский район, 7850 м по направлению на юго-запад от центральной части с. Дворцовское;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ГЭС-4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Ставропольский край, Шпаковский район, село Сенгилеевское, ул. Энергетиков 2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ГЭС-2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 Ставропольский край, Изобильненский район, пос. Левоегорлыкский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ГЭС-2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Свистухинской ГЭС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Ставропольский край, Кочубеевский район, 7125 м по направлению на юго-восток от центральной части станицы Барсуковская;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Свистухинской ГЭС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  <w:tr>
        <w:trPr>
          <w:trHeight w:val="881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Административного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здания</w:t>
            </w: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Российская, Федерация, Ставропольский край, Невинномысск, Водопроводная улица, 360А</w:t>
            </w:r>
          </w:p>
        </w:tc>
        <w:tc>
          <w:tcPr>
            <w:tcW w:w="2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системы контроля управления доступом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Административного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здания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color w:val="C9211E"/>
                <w:sz w:val="20"/>
                <w:szCs w:val="20"/>
              </w:rPr>
            </w:pPr>
            <w:r>
              <w:rPr>
                <w:i/>
                <w:iCs/>
                <w:color w:val="C9211E"/>
                <w:sz w:val="20"/>
                <w:szCs w:val="20"/>
              </w:rPr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>
          <w:i/>
          <w:i/>
          <w:iCs/>
        </w:rPr>
      </w:pPr>
      <w:r>
        <w:rPr>
          <w:i/>
          <w:iCs/>
        </w:rPr>
      </w:r>
    </w:p>
    <w:p>
      <w:pPr>
        <w:pStyle w:val="Heading4"/>
        <w:numPr>
          <w:ilvl w:val="1"/>
          <w:numId w:val="3"/>
        </w:numPr>
        <w:tabs>
          <w:tab w:val="clear" w:pos="960"/>
          <w:tab w:val="left" w:pos="0" w:leader="none"/>
          <w:tab w:val="left" w:pos="450" w:leader="none"/>
          <w:tab w:val="left" w:pos="735" w:leader="none"/>
          <w:tab w:val="left" w:pos="930" w:leader="none"/>
        </w:tabs>
        <w:ind w:left="0" w:hanging="0"/>
        <w:rPr/>
      </w:pPr>
      <w:bookmarkStart w:id="12" w:name="__RefHeading___Toc2075_1456059687_Копия_"/>
      <w:bookmarkStart w:id="13" w:name="_Toc46743509_Копия_1"/>
      <w:bookmarkStart w:id="14" w:name="_Hlk49857604_Копия_1"/>
      <w:bookmarkEnd w:id="12"/>
      <w:r>
        <w:rPr/>
        <w:t xml:space="preserve">Информация в отношении исполнения договора, </w:t>
      </w:r>
      <w:bookmarkStart w:id="15" w:name="_Hlk46492347_Копия_1"/>
      <w:r>
        <w:rPr/>
        <w:t xml:space="preserve">которая должна быть учтена при подготовке заявки </w:t>
      </w:r>
      <w:bookmarkEnd w:id="15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Генеральным подрядчиком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3"/>
      <w:bookmarkEnd w:id="14"/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>-1.5.1. Предоставление грузоподъемных механизмов.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1.5.2. Предоставление ресурсов: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Электроэнергия.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Вода.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Сжатый воздух.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санитарно-гигиенических и бытовых условий.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пожарной и сторожевой охраны.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и содержание строительных площадок.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1.5.3. Представление помещений: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Помещения / площадки для размещения персонала подрядчика.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 xml:space="preserve">- Складские помещения и/или </w:t>
      </w:r>
      <w:r>
        <w:rPr>
          <w:bCs/>
          <w:sz w:val="24"/>
          <w:szCs w:val="24"/>
          <w:lang w:eastAsia="x-none"/>
        </w:rPr>
        <w:t>площадки для погрузки/разгрузки складирования/хранения материально-технических ресурсов, оборудования Субподрядчика, а также давальческого Оборудования Генерального подрядчика.</w:t>
      </w:r>
    </w:p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>
          <w:i/>
          <w:i/>
          <w:iCs/>
        </w:rPr>
      </w:pPr>
      <w:bookmarkStart w:id="16" w:name="_Toc46743507"/>
      <w:bookmarkStart w:id="17" w:name="_Toc54646398"/>
      <w:r>
        <w:rPr/>
        <w:t xml:space="preserve"> </w:t>
      </w:r>
      <w:bookmarkEnd w:id="16"/>
      <w:bookmarkEnd w:id="17"/>
    </w:p>
    <w:p>
      <w:pPr>
        <w:pStyle w:val="Heading1"/>
        <w:numPr>
          <w:ilvl w:val="0"/>
          <w:numId w:val="3"/>
        </w:numPr>
        <w:ind w:left="3175" w:hanging="0"/>
        <w:rPr>
          <w:caps/>
          <w:sz w:val="24"/>
          <w:szCs w:val="24"/>
          <w:lang w:val="ru-RU"/>
        </w:rPr>
      </w:pPr>
      <w:bookmarkStart w:id="18" w:name="__RefHeading___Toc2079_1456059687"/>
      <w:bookmarkStart w:id="19" w:name="_Toc124516416"/>
      <w:bookmarkStart w:id="20" w:name="_Toc51339693"/>
      <w:bookmarkStart w:id="21" w:name="_Toc50125126"/>
      <w:bookmarkEnd w:id="18"/>
      <w:bookmarkEnd w:id="21"/>
      <w:r>
        <w:rPr>
          <w:sz w:val="24"/>
          <w:szCs w:val="24"/>
        </w:rPr>
        <w:t>Требования к продукции</w:t>
      </w:r>
      <w:bookmarkEnd w:id="19"/>
      <w:bookmarkEnd w:id="20"/>
    </w:p>
    <w:p>
      <w:pPr>
        <w:pStyle w:val="Normal"/>
        <w:numPr>
          <w:ilvl w:val="0"/>
          <w:numId w:val="0"/>
        </w:numPr>
        <w:ind w:left="3175" w:hanging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2" w:name="__RefHeading___Toc2081_1456059687"/>
      <w:bookmarkStart w:id="23" w:name="_Toc124516417"/>
      <w:bookmarkEnd w:id="22"/>
      <w:r>
        <w:rPr/>
        <w:t xml:space="preserve">Требования к объемам и срокам </w:t>
      </w:r>
      <w:r>
        <w:rPr>
          <w:lang w:val="ru-RU"/>
        </w:rPr>
        <w:t>выполнения рабо</w:t>
      </w:r>
      <w:bookmarkEnd w:id="23"/>
      <w:r>
        <w:rPr>
          <w:lang w:val="ru-RU"/>
        </w:rPr>
        <w:t>т</w:t>
      </w:r>
    </w:p>
    <w:p>
      <w:pPr>
        <w:pStyle w:val="Normal"/>
        <w:ind w:left="432" w:hanging="43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4" w:name="__RefHeading___Toc2083_1456059687"/>
      <w:bookmarkStart w:id="25" w:name="_Toc124516418"/>
      <w:bookmarkEnd w:id="24"/>
      <w:r>
        <w:rPr/>
        <w:t>Требования к видам и объемам работ</w:t>
      </w:r>
      <w:bookmarkEnd w:id="25"/>
    </w:p>
    <w:p>
      <w:pPr>
        <w:pStyle w:val="Normal"/>
        <w:ind w:left="1072" w:hanging="504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/>
      </w:pPr>
      <w:bookmarkStart w:id="26" w:name="__RefHeading___Toc2085_1456059687"/>
      <w:bookmarkStart w:id="27" w:name="_Toc124516419"/>
      <w:bookmarkStart w:id="28" w:name="_Toc51339695"/>
      <w:bookmarkEnd w:id="26"/>
      <w:r>
        <w:rPr>
          <w:sz w:val="24"/>
          <w:szCs w:val="24"/>
        </w:rPr>
        <w:t xml:space="preserve">Таблица 2. Перечень </w:t>
      </w:r>
      <w:bookmarkEnd w:id="28"/>
      <w:r>
        <w:rPr>
          <w:sz w:val="24"/>
          <w:szCs w:val="24"/>
        </w:rPr>
        <w:t>и объем выполняемых работ</w:t>
      </w:r>
      <w:bookmarkEnd w:id="27"/>
    </w:p>
    <w:tbl>
      <w:tblPr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99"/>
        <w:gridCol w:w="4840"/>
        <w:gridCol w:w="2039"/>
        <w:gridCol w:w="2073"/>
      </w:tblGrid>
      <w:tr>
        <w:trPr/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ГЭС-1. Станционный узел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1210.2.1-153-2024/3-ТПиР-ККГЭС-СКУД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ГЭС-1. Водоприемник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1210.2.1-153-2024/3-ТПиР-ККГЭС-СКУД2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ГЭС-1. ШР № 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1210.2.1-153-2024/3-ТПиР-ККГЭС-СКУД1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ГЭС-2. Станционный узел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1210.3.1-153-2024/3-ТПиР-ККГЭС-СКУД 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ГЭС-2. Плотина выравнивающего водохранилища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1210.3.1-153-2024/3-ТПиР-ККГЭС-СКУД3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ГЭС-2. Водоприемник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1210.3.1-153-2024/3-ТПиР-ККГЭС-СКУД1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ГЭС-2. Площадка ОРУ-330кВ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1210.3.1-153-2024/3-ТПиР-ККГЭС-СКУД2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ГЭС-3. Станционный узел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1210.4.1-153-2024/3-ТПиР-ККГЭС-СКУД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ГЭС-3. Плотина выравнивающего водохранилища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1210.4.1-153-2024/3-ТПиР-ККГЭС-СКУД4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ГЭС-3. Водоприемник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1210.4.1-153-2024/3-ТПиР-ККГЭС-СКУД1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ГЭС-3. ШР № 5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1210.4.1-153-2024/3-ТПиР-ККГЭС-СКУД2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ГЭС-3. ШР № 6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1210.4.1-153-2024/3-ТПиР-ККГЭС-СКУД3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ГЭС-4. Станционный узел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1210.5.1-153-2024/3-ТПиР-ККГЭС-СКУД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ГЭС-4. Водоприемник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1210.5.1-153-2024/3-ТПиР-ККГЭС-СКУД1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Егорлыкская ГЭС. Станционный узел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1210.7.1-153-2024/3-ТПиР-ККГЭС-СКУД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Егорлыкская ГЭС. Плотина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1210.7.1-153-2024/3-ТПиР-ККГЭС-СКУД1 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Егорлыкская ГЭС-2. Станционный узел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1210.8.1-153-2024/3-ТпиР-ККГЭС-СКУД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Свистухинская ГЭС. Станционный узел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1210.6.1-153-2024/3-ТПиР-ККГЭС-СКУД (Приложение № 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4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Административное здание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РД 1210.1.1-153-2024/3-ТПиР-ККГЭС-СКУД (Приложение № 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left="1072" w:hanging="0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9" w:name="__RefHeading___Toc2087_1456059687"/>
      <w:bookmarkStart w:id="30" w:name="_Toc124516420"/>
      <w:bookmarkStart w:id="31" w:name="_Toc51339696"/>
      <w:bookmarkEnd w:id="29"/>
      <w:r>
        <w:rPr/>
        <w:t xml:space="preserve">Требования </w:t>
      </w:r>
      <w:bookmarkEnd w:id="31"/>
      <w:r>
        <w:rPr/>
        <w:t>к срокам выполнения работ</w:t>
      </w:r>
      <w:bookmarkEnd w:id="30"/>
    </w:p>
    <w:p>
      <w:pPr>
        <w:pStyle w:val="Normal"/>
        <w:ind w:left="1072" w:hanging="504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  <w:lang w:val="ru-RU"/>
        </w:rPr>
      </w:pPr>
      <w:bookmarkStart w:id="32" w:name="__RefHeading___Toc2089_1456059687"/>
      <w:bookmarkStart w:id="33" w:name="_Toc124516421"/>
      <w:bookmarkStart w:id="34" w:name="_Toc51339697"/>
      <w:bookmarkStart w:id="35" w:name="_Toc50125127"/>
      <w:bookmarkStart w:id="36" w:name="_Toc50125126_Копия_1"/>
      <w:bookmarkEnd w:id="32"/>
      <w:bookmarkEnd w:id="3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7" w:name="_Hlk50465284"/>
      <w:r>
        <w:rPr>
          <w:sz w:val="24"/>
          <w:szCs w:val="24"/>
        </w:rPr>
        <w:t xml:space="preserve">Требования по срокам </w:t>
      </w:r>
      <w:bookmarkEnd w:id="34"/>
      <w:bookmarkEnd w:id="35"/>
      <w:bookmarkEnd w:id="37"/>
      <w:r>
        <w:rPr>
          <w:sz w:val="24"/>
          <w:szCs w:val="24"/>
          <w:lang w:val="ru-RU"/>
        </w:rPr>
        <w:t>выполнения работ</w:t>
      </w:r>
      <w:bookmarkEnd w:id="33"/>
    </w:p>
    <w:tbl>
      <w:tblPr>
        <w:tblW w:w="997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45"/>
        <w:gridCol w:w="4479"/>
        <w:gridCol w:w="1920"/>
        <w:gridCol w:w="2730"/>
      </w:tblGrid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работ*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38" w:name="_Toc46743510"/>
            <w:r>
              <w:rPr>
                <w:b/>
                <w:sz w:val="24"/>
                <w:szCs w:val="24"/>
              </w:rPr>
              <w:t>4</w:t>
            </w:r>
            <w:bookmarkEnd w:id="38"/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ГЭС-1. Станционный узел</w:t>
            </w:r>
          </w:p>
        </w:tc>
        <w:tc>
          <w:tcPr>
            <w:tcW w:w="19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6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6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6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  <w:p>
            <w:pPr>
              <w:pStyle w:val="Style36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С даты подписания договора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01.02.2027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ГЭС-1. Водоприемник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  <w:sz w:val="24"/>
                <w:szCs w:val="24"/>
              </w:rPr>
            </w:pPr>
            <w:r>
              <w:rPr>
                <w:color w:val="C9211E"/>
                <w:sz w:val="24"/>
                <w:szCs w:val="24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01.02.2027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ГЭС-1. ШР № 2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01.02.2027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ГЭС-2. Станционный узел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01.03.2027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ГЭС-2. Плотина выравнивающего водохранилища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01.03.2027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ГЭС-2. Водоприемник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01.03.2027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ГЭС-2. Площадка ОРУ-330кВ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01.03.2027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ГЭС-3. Станционный узел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01.03.2027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ГЭС-3. Плотина выравнивающего водохранилища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</w:r>
          </w:p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01.03.2027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ГЭС-3. Водоприемник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ГЭС-3. ШР № 5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ГЭС-3. ШР № 6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ГЭС-4. Станционный узел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ГЭС-4. Водоприемник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Егорлыкская ГЭС. Станционный узел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20.04.2027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Егорлыкская ГЭС. Плотина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20.04.2027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Егорлыкская ГЭС-2. Станционный узел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01.05.2027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Свистухинская ГЭС. Станционный узел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21.05.2027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 xml:space="preserve">Выполнение работ по монтажу </w:t>
            </w:r>
            <w:r>
              <w:rPr>
                <w:rFonts w:eastAsia="Calibri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системы контроля и управления </w:t>
            </w:r>
            <w:r>
              <w:rPr>
                <w:color w:val="000000"/>
                <w:sz w:val="24"/>
              </w:rPr>
              <w:t xml:space="preserve"> доступом  Административное здание</w:t>
            </w:r>
          </w:p>
        </w:tc>
        <w:tc>
          <w:tcPr>
            <w:tcW w:w="19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Не позднее 01.06.2027</w:t>
            </w:r>
          </w:p>
        </w:tc>
      </w:tr>
      <w:tr>
        <w:trPr/>
        <w:tc>
          <w:tcPr>
            <w:tcW w:w="9974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* согласно календарного графика к договору подряда </w:t>
            </w:r>
            <w:r>
              <w:rPr>
                <w:color w:val="000000"/>
                <w:sz w:val="24"/>
                <w:szCs w:val="24"/>
              </w:rPr>
              <w:t>№ 1210-153-2024/3-ТпиР-БЕЗ-2024-ККГЭС от 07.06.2024г.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417" w:right="850" w:gutter="0" w:header="850" w:top="1417" w:footer="850" w:bottom="141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9" w:name="__RefHeading___Toc2091_1456059687"/>
      <w:bookmarkStart w:id="40" w:name="_Toc51339698"/>
      <w:bookmarkStart w:id="41" w:name="_Toc124516422"/>
      <w:bookmarkEnd w:id="39"/>
      <w:r>
        <w:rPr/>
        <w:t xml:space="preserve">Требования к </w:t>
      </w:r>
      <w:r>
        <w:rPr>
          <w:lang w:val="ru-RU"/>
        </w:rPr>
        <w:t>качеству работ</w:t>
      </w:r>
      <w:bookmarkEnd w:id="41"/>
    </w:p>
    <w:p>
      <w:pPr>
        <w:pStyle w:val="Normal"/>
        <w:ind w:left="432" w:hanging="432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2" w:name="__RefHeading___Toc2093_1456059687"/>
      <w:bookmarkStart w:id="43" w:name="_Toc124516423"/>
      <w:bookmarkEnd w:id="4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0"/>
      <w:r>
        <w:rPr>
          <w:sz w:val="24"/>
          <w:szCs w:val="24"/>
          <w:lang w:val="ru-RU"/>
        </w:rPr>
        <w:t>качеству работ</w:t>
      </w:r>
      <w:bookmarkEnd w:id="43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bCs/>
          <w:sz w:val="24"/>
          <w:szCs w:val="24"/>
        </w:rPr>
        <w:t>Наименование работ/этапа работ: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1-19 Таблицы 2. Перечень и объем выполняемых работ</w:t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542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0"/>
        <w:gridCol w:w="1954"/>
        <w:gridCol w:w="7970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Генерального подрядчика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0" w:hanging="34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left="0" w:hanging="0"/>
              <w:jc w:val="both"/>
              <w:rPr>
                <w:u w:val="single"/>
              </w:rPr>
            </w:pPr>
            <w:r>
              <w:rPr>
                <w:u w:val="single"/>
              </w:rPr>
              <w:t>При выполнении работ Субподрядчик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Работы должны проводиться в строгом соответствии с Таблицей 3.     «Требования по срокам выполнения работ»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Приказ ПАО «РусГидро» от 28.04.2023 №300 «Об утверждении Регламента процесса “Допуск персонала подрядных организаций на объекты ПАО “РусГидро”» (Приложение № 2 к настоящим ТТ)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СТО РусГидро 02.01.62 – 2021 «Электрические станции и сети. Ремонт и техническое обслуживание оборудования, зданий и сооружений» (раздел 5, Приложение № 7 к настоящим ТТ);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ГОСТ 10180-2012</w:t>
            </w:r>
            <w:r>
              <w:rPr>
                <w:color w:val="2A6099"/>
              </w:rPr>
              <w:t xml:space="preserve"> </w:t>
            </w:r>
            <w:r>
              <w:rPr>
                <w:color w:val="000000"/>
              </w:rPr>
              <w:t>«Бетоны. Методы определения прочности по контрольным образцам»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Правила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Соблюдать режим использования водоохранных зон, в соответствии с Водным кодексом РФ от 03.06.2006 г. № 74-ФЗ.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Иметь квалификацию и опыт, соответствующие выполняемым работам. Инструктаж, обучение и проверка знаний по охране труда рабочих и инженерно - технических работников должны быть</w:t>
            </w:r>
            <w:r>
              <w:rPr>
                <w:i/>
                <w:iCs/>
              </w:rPr>
              <w:t xml:space="preserve"> </w:t>
            </w:r>
            <w:r>
              <w:rPr/>
              <w:t>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 6 к настоящим ТТ)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Проводимые работы по подъему и транспортировке людей 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Субподрядчик обязан осуществлять мероприятия строительного контроля, возложенные на Субподрядчика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Субподрядчик обязан обеспечивать в месте производства Работ порядок и чистоту, накапливать строительный и бытовой мусор в предназначенных для этого и указанных Генеральным подрядчиком местах,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Субподрядчик обязан обеспечить наличие всех измерительных приборов (Нивелир, Мультиметр) , необходимых для определения Гарантированных показателей во время гарантийных испытаний.В случае если какой-либо из указанных в настоящей Ведомости ГОСТов или нормативных документов были отменены в связи с выпуском новой редакции стандарта, то необходимо применять ГОСТ или нормативный документ, принятый в его развитие.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>
                <w:rFonts w:ascii="Times              New Roman;Ti" w:hAnsi="Times              New Roman;Ti"/>
                <w:color w:val="000000"/>
              </w:rPr>
              <w:t>Субподрядчик обязан выполнить работы по  устройству и ликвидации временных зданий и сооружений в соответствии с ПОС  Затраты на временные здания и сооружения, компенсируются за фактически выполненные работы.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u w:val="single"/>
              </w:rPr>
              <w:t>Допуск персонала Субподрядчика для выполнения работ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Регламентом процесса Допуска персонала подрядных организаций на объекты ПАО “РусГидро” Приказ ПАО «РусГидро» от 28.04.2023 №300 (Приложение № 2 к настоящим ТТ), с обязательным оформлением необходимых нарядов-допусков.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При проведении работ субподрядчик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используемым материалам/ оборудованию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 xml:space="preserve">Оборудование Генерального подрядчика, передаваемые  Субподрядчику для выполнения работ, указано в перечне передаваемого оборудования Приложение № 8 к настоящим ТТ и передается </w:t>
            </w:r>
            <w:r>
              <w:rPr>
                <w:color w:val="000000"/>
              </w:rPr>
              <w:t xml:space="preserve">по </w:t>
            </w:r>
            <w:r>
              <w:rPr>
                <w:color w:val="000000"/>
                <w:shd w:fill="auto" w:val="clear"/>
              </w:rPr>
              <w:t>накладной на отпуск материалов на сторону по форме М-15, утвержденной Постановлением Госкомстата России от 30.10.1997 №71А.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Материалы, необходимые для выполнения работ, приобретаются Субподрядчиком самостоятельно согласно Рабочей документации РД 1210 (Приложения № 3 к настоящим ТТ).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 случае использования в описании характеристик предмета закупки указания на товарный знак и иные ограничивающие факторы, допускается поставка и применение эквивалентных материалов/оборудования и комплектующих с техническими характеристиками, которые по своим характеристикам/параметрам должны быть равными или лучше проектных (проектные требования к материалам/оборудованию приведены в Рабочей документации РД 1210 Приложение № 3 к настоящим ТТ).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Предложения по применению материалов/оборудования эквивалентов могут быть предоставлены Субподрядчиком в адрес  Генерального подрядчи</w:t>
            </w:r>
            <w:r>
              <w:rPr>
                <w:color w:val="000000"/>
              </w:rPr>
              <w:t>ка</w:t>
            </w:r>
            <w:r>
              <w:rPr/>
              <w:t>, в  течение 5 рабочих дней с даты выдачи «в производство работ» разработанной рабочей документации.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Применение эквивалентных материалов/оборудования допустимо Субподрядчиком только при согласовании с Заказчиком (</w:t>
            </w:r>
            <w:r>
              <w:rPr>
                <w:bCs/>
                <w:color w:val="000000" w:themeColor="text1"/>
              </w:rPr>
              <w:t>ПАО «РусГидро» - «Каскад Кубанских ГЭС»</w:t>
            </w:r>
            <w:r>
              <w:rPr/>
              <w:t>) и проведении в случае необходимости лабораторных исследований по данным материалам/оборудованию, которые проводятся за счет Субподрядчика, без увеличения сметной стоимости.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 случае, если применение Субподрядчиком эквивалентных материалов/оборудования будет согласовано с Генеральным подрядчиком и потребует внесения изменений в проектную/рабочую документацию, такие изменения также производятся за счет Субподрядчика.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Эквивалентные материалы/оборудование – это продукция, которая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Все поставляемые и применяемые материалы и оборудование должны быть новыми (не ранее 2024 года выпуска) и не использованными ранее.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Материалы/оборудование перед их применением должны пройти входной контроль представителя эксплуатирующей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>
                <w:highlight w:val="none"/>
                <w:shd w:fill="FFFF00" w:val="clear"/>
              </w:rPr>
            </w:pPr>
            <w:r>
              <w:rPr>
                <w:shd w:fill="auto" w:val="clear"/>
              </w:rPr>
              <w:t>На используемые материалы/оборудование должны быть</w:t>
            </w:r>
            <w:r>
              <w:rPr>
                <w:shd w:fill="FFFF00" w:val="clear"/>
              </w:rPr>
              <w:t xml:space="preserve"> </w:t>
            </w:r>
            <w:r>
              <w:rPr>
                <w:shd w:fill="auto" w:val="clear"/>
              </w:rPr>
              <w:t>представлены сертификаты или паспорта качества (соответствия).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качества используемых материалов/оборудования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Субподрядчик должен обеспечить входной контроль поступающих материалов/оборудования,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5" w:leader="none"/>
              </w:tabs>
              <w:spacing w:before="0" w:after="0"/>
              <w:ind w:left="113" w:hanging="0"/>
              <w:contextualSpacing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маркировки, сохранности упаковки, наличия и сохранности защитных и окрасочных покрытий;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113" w:hanging="0"/>
              <w:jc w:val="both"/>
              <w:rPr>
                <w:color w:val="000000"/>
              </w:rPr>
            </w:pPr>
            <w:r>
              <w:rPr>
                <w:rFonts w:eastAsia="Times New Roman"/>
              </w:rPr>
              <w:t>комплектности поставляемых материалов</w:t>
            </w:r>
            <w:r>
              <w:rPr>
                <w:rFonts w:eastAsia="Times New Roman"/>
                <w:color w:val="000000"/>
              </w:rPr>
              <w:t>/оборудования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К выполнению работ должны быть привлечены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6" w:leader="none"/>
              </w:tabs>
              <w:ind w:left="57" w:hanging="0"/>
              <w:rPr/>
            </w:pPr>
            <w:r>
              <w:rPr/>
              <w:t>квалифицированный рабочий персонал с группами по электробезопасности (не ниже 2 группы)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57" w:leader="none"/>
              </w:tabs>
              <w:ind w:left="57" w:hanging="0"/>
              <w:rPr/>
            </w:pPr>
            <w:r>
              <w:rPr>
                <w:rFonts w:eastAsia="Times New Roman"/>
              </w:rPr>
              <w:t>административно-технический персонал с указанием групп по электробезопасности (не ниже 3 группы)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Субподрядчику до начала проведения работ в рамках исполнения договора после его заключения Субподрядчиком должны быть предоставлены: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персонала с указанием сведений о квалификации персонала, разряде и группе по электробезопасности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копию страниц паспорта;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справку об отсутствии судимости;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заполненную анкету (форма Приложение № 4 к настоящим ТТ);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согласие на обработку персональных и иных охраняемых законном данных (форма Приложение № 5 к настоящим ТТ);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удостоверений по ЭБ;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протоколов по ЭБ;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Субподрядчик при производстве работ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113" w:hanging="0"/>
              <w:jc w:val="both"/>
              <w:rPr/>
            </w:pPr>
            <w:r>
              <w:rPr/>
              <w:t>Постановление Правительства РФ от 12.06.2024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 xml:space="preserve">  </w:t>
            </w:r>
            <w:r>
              <w:rPr/>
              <w:t>Правил    по    охране    труда     при   эксплуатации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434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9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>
                <w:rStyle w:val="Strong"/>
                <w:b w:val="false"/>
                <w:bCs w:val="false"/>
              </w:rPr>
              <w:t xml:space="preserve">Свод правил СП 12-136-2017 </w:t>
            </w:r>
            <w:r>
              <w:rPr/>
              <w:t xml:space="preserve">«Безопасность труда в строительстве» Часть 1.Общие требования, утвержденных Постановлением Госстроя РФ от </w:t>
            </w:r>
            <w:r>
              <w:rPr>
                <w:rStyle w:val="Strong"/>
                <w:b w:val="false"/>
                <w:bCs w:val="false"/>
                <w:color w:val="000000"/>
              </w:rPr>
              <w:t>29 декабря 2017  N1122;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>
                <w:rStyle w:val="Strong"/>
                <w:b w:val="false"/>
                <w:bCs w:val="false"/>
              </w:rPr>
              <w:t>СП 12-136-2020</w:t>
            </w:r>
            <w:r>
              <w:rPr/>
              <w:t xml:space="preserve"> «Безопасность труда в строительстве» Часть 2. Строительное Производство, утвержденных Постановлением Госстроя России</w:t>
            </w:r>
            <w:r>
              <w:rPr>
                <w:color w:val="000000"/>
              </w:rPr>
              <w:t> </w:t>
            </w:r>
            <w:r>
              <w:rPr>
                <w:rStyle w:val="Strong"/>
                <w:b w:val="false"/>
                <w:bCs w:val="false"/>
                <w:color w:val="000000"/>
              </w:rPr>
              <w:t xml:space="preserve">№ </w:t>
            </w:r>
            <w:r>
              <w:rPr>
                <w:rStyle w:val="Strong"/>
                <w:b w:val="false"/>
                <w:bCs w:val="false"/>
                <w:color w:val="000000"/>
                <w:shd w:fill="FFFFFF" w:val="clear"/>
              </w:rPr>
              <w:t>127/пр от 19 марта 2020 г;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2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09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90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 введен в действие Приказом Минстроя России от 27.02.2017 N 125/пр);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Приказ Минстроя России от 27.07.2017 N 1033/пр "Об утверждении СП 68.13330.2017 "СНиП 3.01.04-87 Приемка в экс_плуатацию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7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45" w:leader="none"/>
                <w:tab w:val="left" w:pos="660" w:leader="none"/>
              </w:tabs>
              <w:ind w:left="113" w:hanging="0"/>
              <w:jc w:val="both"/>
              <w:rPr/>
            </w:pPr>
            <w:r>
              <w:rPr/>
              <w:t>Заводскими инструкциями.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</w:t>
            </w:r>
            <w:r>
              <w:rPr>
                <w:bCs/>
                <w:color w:val="000000"/>
                <w:sz w:val="24"/>
                <w:szCs w:val="24"/>
              </w:rPr>
              <w:t>Проектной (</w:t>
            </w:r>
            <w:r>
              <w:rPr>
                <w:sz w:val="24"/>
                <w:szCs w:val="24"/>
              </w:rPr>
              <w:t xml:space="preserve">Приложение № 3 настоящих ТТ ) и </w:t>
            </w:r>
            <w:r>
              <w:rPr>
                <w:bCs/>
                <w:color w:val="000000"/>
                <w:sz w:val="24"/>
                <w:szCs w:val="24"/>
              </w:rPr>
              <w:t>Рабочей документацией выданной в производство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1032" w:leader="none"/>
              </w:tabs>
              <w:ind w:left="360" w:hanging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выполнения работ должен быть достигнут ввод объекта в эксплуатацию.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007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передачей результатов работ Субподрядчик обязан передать Генеральному подрядчику «Отчёт о выполненных работах»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1032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Субподрядчик по результатам выполненных работ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работ по форме КС-2 передать Генеральному подрядчику «Отчёт о выполненных работах»,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исполнительные схемы на земляные и берегоукрепительные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 фактических трудозатратах при выполнении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285" w:leader="none"/>
              </w:tabs>
              <w:ind w:left="113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 СП 71.13330.2017 "Изоляционные и отделочные покрытия;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285" w:leader="none"/>
              </w:tabs>
              <w:ind w:left="113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 СП 17.13330.2017 СНиП II-26-76 Кровли;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285" w:leader="none"/>
              </w:tabs>
              <w:ind w:left="113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  СП 30.13330.2020 Внутренний водопровод и канализация зданий.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720" w:hanging="72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по Договору составляет 36 (тридцать шесть) месяцев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начинает течь с даты подписания Сторонами Акта КС-2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left="1560" w:hanging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4" w:name="__RefHeading___Toc2095_1456059687"/>
      <w:bookmarkStart w:id="45" w:name="_Ref40301253"/>
      <w:bookmarkStart w:id="46" w:name="_Toc124516424"/>
      <w:bookmarkStart w:id="47" w:name="_Toc53393312"/>
      <w:bookmarkEnd w:id="44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7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6"/>
    </w:p>
    <w:p>
      <w:pPr>
        <w:pStyle w:val="Normal"/>
        <w:jc w:val="both"/>
        <w:rPr>
          <w:b/>
          <w:sz w:val="24"/>
          <w:szCs w:val="24"/>
        </w:rPr>
      </w:pPr>
      <w:bookmarkStart w:id="48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заполнению, приведённой в Документации о закупке (с указанием понижающего коэффициента)</w:t>
      </w:r>
      <w:bookmarkEnd w:id="48"/>
      <w:r>
        <w:rPr>
          <w:sz w:val="24"/>
          <w:szCs w:val="24"/>
        </w:rPr>
        <w:t>, величину данного коэффициента рекомендуется учитывать с округление до 7 знаков после запятой).</w:t>
      </w:r>
    </w:p>
    <w:p>
      <w:pPr>
        <w:pStyle w:val="Normal"/>
        <w:jc w:val="both"/>
        <w:rPr>
          <w:b/>
          <w:sz w:val="24"/>
          <w:szCs w:val="24"/>
        </w:rPr>
      </w:pPr>
      <w:bookmarkStart w:id="49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49"/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0" w:name="__RefHeading___Toc2097_1456059687"/>
      <w:bookmarkStart w:id="51" w:name="_Toc124516427"/>
      <w:bookmarkEnd w:id="50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51"/>
    </w:p>
    <w:p>
      <w:pPr>
        <w:pStyle w:val="Normal"/>
        <w:jc w:val="both"/>
        <w:rPr>
          <w:sz w:val="24"/>
          <w:szCs w:val="24"/>
        </w:rPr>
      </w:pPr>
      <w:r>
        <w:rPr>
          <w:rFonts w:ascii="Times              New Roman;Ti" w:hAnsi="Times              New Roman;Ti"/>
          <w:sz w:val="24"/>
          <w:szCs w:val="24"/>
        </w:rPr>
        <w:t>4.1. По результатам настоящей закупки заключается договор с предельной ценой, путем применения к начальной (максимальной) цене договора понижающего коэффициента, указанного в заявке Участника, с которым принято решение заключить договор.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>4.2 В рамках исполнения договора взаиморасчеты будут осуществляться по смете, выданной Генеральным подрядчиком в производство работ, составленной в соответствии с требованиями, указанными в приложении № 1 к настоящему Техническому заданию,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>4.3 Указанный коэффициент нач</w:t>
      </w:r>
      <w:bookmarkStart w:id="52" w:name="_GoBack"/>
      <w:bookmarkEnd w:id="52"/>
      <w:r>
        <w:rPr>
          <w:rFonts w:ascii="Times              New Roman;Ti" w:hAnsi="Times              New Roman;Ti"/>
          <w:sz w:val="24"/>
        </w:rPr>
        <w:t>исляется в каждой локальной смете к итогу.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 xml:space="preserve">4.4. В сметной документации </w:t>
      </w:r>
      <w:r>
        <w:rPr>
          <w:rFonts w:ascii="Times              New Roman;Ti" w:hAnsi="Times              New Roman;Ti"/>
          <w:sz w:val="24"/>
          <w:szCs w:val="24"/>
        </w:rPr>
        <w:t xml:space="preserve"> предусмотреть резерв средств на непредвиденные работы и затраты в размере 3%. Непредвиденные работы и затраты оплачиваются за фактически выполненные работы.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New Roman;Times;serif" w:hAnsi="Times New Roman;Times;serif"/>
          <w:sz w:val="24"/>
        </w:rPr>
        <w:t>4.5 В случае, если стоимость по смете, выданной в производство</w:t>
      </w:r>
      <w:r>
        <w:rPr>
          <w:rFonts w:ascii="Times              New Roman;se" w:hAnsi="Times              New Roman;se"/>
          <w:sz w:val="24"/>
        </w:rPr>
        <w:t xml:space="preserve">  </w:t>
      </w:r>
      <w:r>
        <w:rPr>
          <w:rFonts w:ascii="Times New                Roman;" w:hAnsi="Times New                Roman;"/>
          <w:sz w:val="24"/>
        </w:rPr>
        <w:t>работ, будет превышать предельную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BodyText"/>
        <w:spacing w:before="0" w:after="0"/>
        <w:jc w:val="both"/>
        <w:rPr>
          <w:rFonts w:ascii="Times              New Roman;se" w:hAnsi="Times              New Roman;se"/>
          <w:sz w:val="24"/>
        </w:rPr>
      </w:pPr>
      <w:r>
        <w:rPr>
          <w:rFonts w:ascii="Times New Roman;Times;serif" w:hAnsi="Times New Roman;Times;serif"/>
          <w:sz w:val="24"/>
        </w:rPr>
        <w:t>4.6. В случае, если стоимость по смете, выданной в производство</w:t>
      </w:r>
      <w:r>
        <w:rPr>
          <w:rFonts w:ascii="Times              New Roman;se" w:hAnsi="Times              New Roman;se"/>
          <w:sz w:val="24"/>
        </w:rPr>
        <w:t xml:space="preserve">  </w:t>
      </w:r>
      <w:r>
        <w:rPr>
          <w:rFonts w:ascii="Times New                Roman;" w:hAnsi="Times New                Roman;"/>
          <w:sz w:val="24"/>
        </w:rPr>
        <w:t>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</w:t>
      </w:r>
      <w:r>
        <w:rPr>
          <w:rFonts w:ascii="Times              New Roman;se" w:hAnsi="Times              New Roman;se"/>
          <w:sz w:val="24"/>
        </w:rPr>
        <w:t>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" w:hAnsi="Times              New Roman;Ti"/>
          <w:sz w:val="24"/>
        </w:rPr>
      </w:pPr>
      <w:r>
        <w:rPr>
          <w:rFonts w:ascii="Times              New Roman;Ti" w:hAnsi="Times              New Roman;Ti"/>
          <w:sz w:val="24"/>
        </w:rPr>
        <w:t>4.7. Требования к составлению сметной документации (на этапе исполнения договора):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4.7.1.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закупки (п.4.1).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3" w:name="__RefHeading___Toc2099_1456059687"/>
      <w:bookmarkEnd w:id="53"/>
      <w:r>
        <w:rPr>
          <w:sz w:val="24"/>
          <w:szCs w:val="24"/>
        </w:rPr>
        <w:t>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bookmarkStart w:id="54" w:name="_Hlk87545766"/>
      <w:bookmarkEnd w:id="54"/>
      <w:r>
        <w:rPr>
          <w:b/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Регламент процесса Допуска персонала подрядных организаций на объекты ПАО “РусГидро” Приказ</w:t>
      </w:r>
      <w:r>
        <w:rPr>
          <w:bCs/>
          <w:iCs/>
          <w:sz w:val="24"/>
          <w:szCs w:val="24"/>
          <w:shd w:fill="auto" w:val="clear"/>
        </w:rPr>
        <w:t xml:space="preserve"> ПАО «РусГидро» от 28.04.2023 № 300;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highlight w:val="none"/>
          <w:shd w:fill="auto" w:val="clear"/>
        </w:rPr>
      </w:pPr>
      <w:r>
        <w:rPr>
          <w:b/>
          <w:bCs/>
          <w:iCs/>
          <w:sz w:val="24"/>
          <w:szCs w:val="24"/>
          <w:shd w:fill="auto" w:val="clear"/>
        </w:rPr>
        <w:t>Приложение № 3:</w:t>
      </w:r>
      <w:r>
        <w:rPr>
          <w:iCs/>
          <w:sz w:val="24"/>
          <w:szCs w:val="24"/>
          <w:shd w:fill="auto" w:val="clear"/>
        </w:rPr>
        <w:t xml:space="preserve"> Рабочая документация 1210;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highlight w:val="none"/>
          <w:shd w:fill="auto" w:val="clear"/>
        </w:rPr>
      </w:pPr>
      <w:r>
        <w:rPr>
          <w:b/>
          <w:bCs/>
          <w:iCs/>
          <w:sz w:val="24"/>
          <w:szCs w:val="24"/>
          <w:shd w:fill="auto" w:val="clear"/>
        </w:rPr>
        <w:t>Приложение № 4</w:t>
      </w:r>
      <w:r>
        <w:rPr>
          <w:bCs/>
          <w:iCs/>
          <w:sz w:val="24"/>
          <w:szCs w:val="24"/>
          <w:shd w:fill="auto" w:val="clear"/>
        </w:rPr>
        <w:t>: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</w:t>
      </w:r>
      <w:r>
        <w:rPr>
          <w:bCs/>
          <w:iCs/>
          <w:sz w:val="24"/>
          <w:szCs w:val="24"/>
        </w:rPr>
        <w:t>: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6</w:t>
      </w:r>
      <w:r>
        <w:rPr>
          <w:bCs/>
          <w:iCs/>
          <w:sz w:val="24"/>
          <w:szCs w:val="24"/>
        </w:rPr>
        <w:t xml:space="preserve">: </w:t>
      </w:r>
      <w:r>
        <w:rPr>
          <w:sz w:val="24"/>
          <w:szCs w:val="24"/>
        </w:rPr>
        <w:t>СТО РусГидро 05.02.126-2020</w:t>
      </w:r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7</w:t>
      </w:r>
      <w:r>
        <w:rPr>
          <w:bCs/>
          <w:iCs/>
          <w:sz w:val="24"/>
          <w:szCs w:val="24"/>
        </w:rPr>
        <w:t xml:space="preserve">: </w:t>
      </w:r>
      <w:r>
        <w:rPr>
          <w:iCs/>
          <w:sz w:val="24"/>
          <w:szCs w:val="24"/>
        </w:rPr>
        <w:t>СТО РусГидро 02.01.62 – 2021</w:t>
      </w:r>
      <w:bookmarkEnd w:id="45"/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>Приложение № 8:</w:t>
      </w:r>
      <w:r>
        <w:rPr>
          <w:sz w:val="24"/>
          <w:szCs w:val="24"/>
        </w:rPr>
        <w:t xml:space="preserve"> Перечень давальческого оборудования.</w:t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PT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             New Roman">
    <w:altName w:val="Ti"/>
    <w:charset w:val="01"/>
    <w:family w:val="roman"/>
    <w:pitch w:val="variable"/>
  </w:font>
  <w:font w:name="Times New Roman">
    <w:altName w:val="Times"/>
    <w:charset w:val="01"/>
    <w:family w:val="roman"/>
    <w:pitch w:val="variable"/>
  </w:font>
  <w:font w:name="Times              New Roman">
    <w:altName w:val="se"/>
    <w:charset w:val="01"/>
    <w:family w:val="roman"/>
    <w:pitch w:val="variable"/>
  </w:font>
  <w:font w:name="Times New               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1" w:customStyle="1">
    <w:name w:val="Strong1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Strong">
    <w:name w:val="Strong"/>
    <w:qFormat/>
    <w:rPr>
      <w:b/>
      <w:bCs/>
    </w:rPr>
  </w:style>
  <w:style w:type="character" w:styleId="Linenumber">
    <w:name w:val="line number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1" w:customStyle="1">
    <w:name w:val="caption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numbering" w:styleId="30543977671" w:customStyle="1">
    <w:name w:val="3054397767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91E08-3CB7-45AF-BB6C-93A6C3AF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Application>AlterOffice/2025.3.1.0$Linux_X86_64 LibreOffice_project/6648c49ab2ca125dff246c75ec00a85a64baa8dd</Application>
  <AppVersion>15.0000</AppVersion>
  <Pages>18</Pages>
  <Words>3868</Words>
  <Characters>27210</Characters>
  <CharactersWithSpaces>30672</CharactersWithSpaces>
  <Paragraphs>466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2026-07-24T05:35:00Z</dcterms:created>
  <dc:creator>Быстров Олег Геннадьевич</dc:creator>
  <dc:description/>
  <dc:language>ru-RU</dc:language>
  <cp:lastModifiedBy/>
  <cp:lastPrinted>2026-08-05T08:13:45Z</cp:lastPrinted>
  <dcterms:modified xsi:type="dcterms:W3CDTF">2026-08-10T10:26:44Z</dcterms:modified>
  <cp:revision>17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